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365C" w14:textId="3FF47FDC" w:rsidR="001217DC" w:rsidRPr="0042150C" w:rsidRDefault="00457D4A" w:rsidP="0021768D">
      <w:pPr>
        <w:pStyle w:val="Heading1"/>
        <w:spacing w:before="0" w:after="120" w:line="275" w:lineRule="auto"/>
        <w:jc w:val="center"/>
        <w:rPr>
          <w:rFonts w:eastAsia="Google Sans"/>
          <w:color w:val="1B1C1D"/>
          <w:sz w:val="20"/>
          <w:szCs w:val="20"/>
        </w:rPr>
      </w:pPr>
      <w:r w:rsidRPr="0042150C">
        <w:rPr>
          <w:rFonts w:eastAsia="Google Sans"/>
          <w:color w:val="1B1C1D"/>
          <w:sz w:val="20"/>
          <w:szCs w:val="20"/>
        </w:rPr>
        <w:t>Cardiac MRI Viability Studies Template</w:t>
      </w:r>
    </w:p>
    <w:p w14:paraId="758E0C3A" w14:textId="3F98B096" w:rsidR="004C0E95" w:rsidRPr="0042150C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eastAsia="Google Sans Text"/>
          <w:color w:val="1B1C1D"/>
          <w:sz w:val="20"/>
          <w:szCs w:val="20"/>
        </w:rPr>
      </w:pPr>
      <w:r w:rsidRPr="0042150C">
        <w:rPr>
          <w:rFonts w:eastAsia="Google Sans Text"/>
          <w:color w:val="1B1C1D"/>
          <w:sz w:val="20"/>
          <w:szCs w:val="20"/>
        </w:rPr>
        <w:t xml:space="preserve">This template is designed to provide a structured framework for reporting cardiac MRI viability studies, </w:t>
      </w:r>
      <w:r w:rsidR="004C0E95" w:rsidRPr="0042150C">
        <w:rPr>
          <w:rFonts w:eastAsia="Google Sans Text"/>
          <w:color w:val="1B1C1D"/>
          <w:sz w:val="20"/>
          <w:szCs w:val="20"/>
        </w:rPr>
        <w:t xml:space="preserve">based on the </w:t>
      </w:r>
      <w:r w:rsidRPr="0042150C">
        <w:rPr>
          <w:rFonts w:eastAsia="Google Sans Text"/>
          <w:color w:val="1B1C1D"/>
          <w:sz w:val="20"/>
          <w:szCs w:val="20"/>
        </w:rPr>
        <w:t>SCMR</w:t>
      </w:r>
      <w:r w:rsidR="004C0E95" w:rsidRPr="0042150C">
        <w:rPr>
          <w:rFonts w:eastAsia="Google Sans Text"/>
          <w:color w:val="1B1C1D"/>
          <w:sz w:val="20"/>
          <w:szCs w:val="20"/>
        </w:rPr>
        <w:t xml:space="preserve"> Reporting guidelines (2022)</w:t>
      </w:r>
    </w:p>
    <w:p w14:paraId="3BEE1973" w14:textId="77777777" w:rsidR="00614CD6" w:rsidRDefault="00614CD6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37972187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5916BB90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D9356C2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7B823CE4" w14:textId="387415F0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08DAAB23" w14:textId="3A8AB6AB" w:rsidR="001217DC" w:rsidRPr="00A004A8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MRI viability study.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Dose, and </w:t>
      </w:r>
    </w:p>
    <w:p w14:paraId="3E368584" w14:textId="089B4846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Cine </w:t>
      </w:r>
    </w:p>
    <w:p w14:paraId="227B8369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ii. Tagged and other strain-encoding cine </w:t>
      </w:r>
    </w:p>
    <w:p w14:paraId="776D15FA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iii. T1- and T2-weighted imaging (T1w; T2w) </w:t>
      </w:r>
    </w:p>
    <w:p w14:paraId="2EF118EC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lastRenderedPageBreak/>
        <w:t xml:space="preserve">iv. Quantitative T1 and T2 mapping </w:t>
      </w:r>
    </w:p>
    <w:p w14:paraId="7255EE5F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v. T2* mapping </w:t>
      </w:r>
    </w:p>
    <w:p w14:paraId="65A6AE2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vi. Early gadolinium enhancement </w:t>
      </w:r>
    </w:p>
    <w:p w14:paraId="46739031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vii. Late gadolinium enhancement </w:t>
      </w:r>
    </w:p>
    <w:p w14:paraId="5A6F7DF8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viii. Velocity-encoded / phase contrast cine</w:t>
      </w:r>
    </w:p>
    <w:p w14:paraId="02406897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ix. MR angiography </w:t>
      </w:r>
    </w:p>
    <w:p w14:paraId="7BF925FE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x. Myocardial perfusion</w:t>
      </w:r>
    </w:p>
    <w:p w14:paraId="71F1D064" w14:textId="78B149A3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42839EE1" w14:textId="40B6B27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Study was analyzed using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Medis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Circle/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Neosoft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/ Other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(Drop down with free text option)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388B218" w14:textId="1DF464D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eft Ventricle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: </w:t>
      </w:r>
    </w:p>
    <w:p w14:paraId="23DE1AE4" w14:textId="4CA630D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2126185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 Hypertrophied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7AE7963" w14:textId="417C3C02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Can consider including Bulls eye or table for 17 segment model if reporting software allows.</w:t>
      </w:r>
    </w:p>
    <w:p w14:paraId="3B73AC4C" w14:textId="421FDF5D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114BEE06" w14:textId="27633055" w:rsidR="00D31F84" w:rsidRPr="00DB56D1" w:rsidRDefault="00DB56D1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D31F84"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2DD74C8F" w14:textId="42B3C058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614CD6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  <w:r w:rsidR="00B177A6"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04E6B86E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A30A9F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35CB61F6" w14:textId="038E2C17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stroke volume (LVSV)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4F0D6261" w14:textId="6C11C9A0" w:rsidR="00B177A6" w:rsidRPr="00614CD6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</w:t>
      </w:r>
      <w:r w:rsidR="00D31F84" w:rsidRPr="00614CD6">
        <w:rPr>
          <w:rFonts w:asciiTheme="majorHAnsi" w:hAnsiTheme="majorHAnsi" w:cstheme="majorHAnsi"/>
          <w:sz w:val="24"/>
          <w:szCs w:val="24"/>
        </w:rPr>
        <w:t>V ejection fraction (LVEF)</w:t>
      </w:r>
      <w:r w:rsidR="002A0BCD">
        <w:rPr>
          <w:rFonts w:asciiTheme="majorHAnsi" w:hAnsiTheme="majorHAnsi" w:cstheme="majorHAnsi"/>
          <w:sz w:val="24"/>
          <w:szCs w:val="24"/>
        </w:rPr>
        <w:t>;</w:t>
      </w:r>
    </w:p>
    <w:p w14:paraId="3CA2D256" w14:textId="0170E63B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cardiac output (LVCO)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0F655C51" w14:textId="633D24E5" w:rsidR="00621EA2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7567CA6B" w14:textId="3F7B5EE1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302511" w14:textId="60370CC4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A9429DF" w14:textId="3AF1A1A1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LVSV index=LVSV/BSA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70578CD" w14:textId="62D282F0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LVCO index=LVCO/BSA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86775F7" w14:textId="40F62F24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LVM index=LVM/BSA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D278FDD" w14:textId="7777777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2DC5361C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3C2366" w14:textId="5616F0C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normokinetic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, hyperkinetic, akinetic, dyskinetic, dyssynchronous, not evaluable, or not assessed</w:t>
      </w:r>
    </w:p>
    <w:p w14:paraId="742C8225" w14:textId="2ED8A06B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478F0735" w14:textId="77777777" w:rsidR="002A0BCD" w:rsidRPr="00A004A8" w:rsidRDefault="002A0BCD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BE0315" w14:textId="25F84354" w:rsidR="00DB56D1" w:rsidRPr="00DB56D1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7D7F5D84" w14:textId="4B848DD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end-diastolic volume (RVEDV)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0DF871BE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A30A9F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8379323" w14:textId="2B699EA9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stroke volume (RVSV)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7147A63" w14:textId="63E38B7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ejection fraction (RVEF)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7A7E52F" w14:textId="1BB75924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cardiac output (RVCO)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F0FFEE9" w14:textId="245D48C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201689F6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6C8872A" w14:textId="716A8FA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5F64AED" w14:textId="3A3DD6EA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RVSV index=RVSV/BSA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C46150" w14:textId="0CDDF648" w:rsidR="00A004A8" w:rsidRPr="00614CD6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RVCO index=RVCO/BSA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Atria: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0D02ABFD" w14:textId="27951B2F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Size (normal/ dilated)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>(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area/ indexed volume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39C4B912" w14:textId="77777777" w:rsidR="00417F6E" w:rsidRPr="00A004A8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Right atrium: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 (normal/ dilated)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(area/ indexed volume),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1C2BF6A2" w14:textId="1FECB6C6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Interatrial septum if visualized: Intact, aneurysmal, septal defect, </w:t>
      </w:r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patent foramen </w:t>
      </w:r>
      <w:proofErr w:type="spellStart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ovale</w:t>
      </w:r>
      <w:proofErr w:type="spellEnd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lipomatous hypertrophy or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other</w:t>
      </w:r>
    </w:p>
    <w:p w14:paraId="329E0859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1651043" w14:textId="572187AB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5564D39A" w14:textId="77777777" w:rsidR="00033220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062C4836" w14:textId="4D83D3E5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1475370" w14:textId="2CE06743" w:rsid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7E64FC7" w14:textId="77777777" w:rsidR="007832E9" w:rsidRPr="00A004A8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93C9559" w14:textId="68F9CAA4" w:rsidR="00621EA2" w:rsidRPr="00A004A8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Valvular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flow quantification if performed</w:t>
      </w:r>
    </w:p>
    <w:p w14:paraId="30911EB0" w14:textId="303B0470" w:rsidR="00A004A8" w:rsidRPr="00A004A8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V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elocity encoding, or </w:t>
      </w:r>
      <w:r w:rsidR="007679DB">
        <w:rPr>
          <w:rFonts w:asciiTheme="majorHAnsi" w:eastAsia="Google Sans Text" w:hAnsiTheme="majorHAnsi" w:cstheme="majorHAnsi"/>
          <w:color w:val="1B1C1D"/>
          <w:sz w:val="24"/>
          <w:szCs w:val="24"/>
        </w:rPr>
        <w:t>VENC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setting meters/sec. </w:t>
      </w:r>
    </w:p>
    <w:p w14:paraId="63C3D0F1" w14:textId="1FA4DD11" w:rsidR="00A004A8" w:rsidRPr="00A004A8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Peak and mean velocities 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m/sec</w:t>
      </w:r>
    </w:p>
    <w:p w14:paraId="543A6673" w14:textId="2DFE44B0" w:rsidR="00621EA2" w:rsidRPr="00A004A8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orresponding estimates of p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eak and mean pressure gradients.</w:t>
      </w:r>
    </w:p>
    <w:p w14:paraId="477D3D5E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28345C" w14:textId="7E411FE4" w:rsidR="00B177A6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Masses</w:t>
      </w:r>
      <w:r w:rsidR="006B7FEB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/ Thrombus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 None/ Present</w:t>
      </w:r>
    </w:p>
    <w:p w14:paraId="3C9985CC" w14:textId="7B80FDFC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</w:t>
      </w:r>
    </w:p>
    <w:p w14:paraId="5CD7167E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Location </w:t>
      </w:r>
    </w:p>
    <w:p w14:paraId="4A3757E8" w14:textId="247DFC61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 </w:t>
      </w:r>
    </w:p>
    <w:p w14:paraId="11C7741C" w14:textId="5C3BD72F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Relationship with 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adjacent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structures </w:t>
      </w:r>
    </w:p>
    <w:p w14:paraId="33FDD744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First-pass perfusion and LGE, if performed </w:t>
      </w:r>
    </w:p>
    <w:p w14:paraId="0152B3AE" w14:textId="1EE33C92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Present or absent </w:t>
      </w:r>
    </w:p>
    <w:p w14:paraId="1287E22D" w14:textId="0E59E169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 (homogenous or heterogeneous)</w:t>
      </w:r>
    </w:p>
    <w:p w14:paraId="6A817672" w14:textId="77777777" w:rsidR="00614CD6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77777777" w:rsidR="00FF6083" w:rsidRPr="00A004A8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782D71CD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03220D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81767D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4C87D2E8" w14:textId="77777777" w:rsidR="00033220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of involvement is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40B7C342" w14:textId="64CAA0CD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Subendocardial/ Transmural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and is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indicative of Ischemic injury (myocardial infarction) </w:t>
      </w:r>
    </w:p>
    <w:p w14:paraId="53614CE7" w14:textId="483D8F9A" w:rsidR="00D519C9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Subepicardial/ </w:t>
      </w:r>
      <w:r w:rsidR="0003220D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and is indicative of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Non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ischemic injury or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infiltration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3D8B3B2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(drop down)</w:t>
      </w:r>
    </w:p>
    <w:p w14:paraId="4640E181" w14:textId="6C1850B8" w:rsidR="00A004A8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T2*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E8310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E8310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</w:t>
      </w:r>
      <w:r w:rsidR="00896502">
        <w:rPr>
          <w:rFonts w:asciiTheme="majorHAnsi" w:eastAsia="Google Sans Text" w:hAnsiTheme="majorHAnsi" w:cstheme="majorHAnsi"/>
          <w:color w:val="1B1C1D"/>
          <w:sz w:val="24"/>
          <w:szCs w:val="24"/>
        </w:rPr>
        <w:t>ranges</w:t>
      </w:r>
    </w:p>
    <w:p w14:paraId="48EF9061" w14:textId="5B7D2C46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</w:t>
      </w:r>
      <w:r w:rsidR="00896502">
        <w:rPr>
          <w:rFonts w:asciiTheme="majorHAnsi" w:eastAsia="Google Sans Text" w:hAnsiTheme="majorHAnsi" w:cstheme="majorHAnsi"/>
          <w:color w:val="1B1C1D"/>
          <w:sz w:val="24"/>
          <w:szCs w:val="24"/>
        </w:rPr>
        <w:t>ranges</w:t>
      </w:r>
    </w:p>
    <w:p w14:paraId="28A1DA69" w14:textId="60814D3E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other, normal ranges</w:t>
      </w:r>
    </w:p>
    <w:p w14:paraId="7C05E32E" w14:textId="62A21EC7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 ranges</w:t>
      </w:r>
      <w:bookmarkStart w:id="0" w:name="_GoBack"/>
      <w:bookmarkEnd w:id="0"/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1F299C5" w14:textId="77777777" w:rsidR="000A01FB" w:rsidRP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Extra</w:t>
      </w: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noBreakHyphen/>
        <w:t>cardiac findings</w:t>
      </w:r>
      <w:r w:rsidRPr="000A01FB">
        <w:rPr>
          <w:rFonts w:asciiTheme="majorHAnsi" w:eastAsia="Google Sans Text" w:hAnsiTheme="majorHAnsi" w:cstheme="majorHAnsi"/>
          <w:color w:val="1B1C1D"/>
          <w:sz w:val="24"/>
          <w:szCs w:val="24"/>
        </w:rPr>
        <w:t>: None/ Other</w:t>
      </w:r>
    </w:p>
    <w:p w14:paraId="772A70FF" w14:textId="77777777" w:rsid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</w:p>
    <w:p w14:paraId="7F0114F8" w14:textId="0E01D3E3" w:rsidR="000A01FB" w:rsidRP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Section IV: Impression:</w:t>
      </w:r>
    </w:p>
    <w:p w14:paraId="55491246" w14:textId="0D9B574D" w:rsidR="009854AF" w:rsidRPr="00043EFF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LV assessment:(Pick one or two)</w:t>
      </w:r>
    </w:p>
    <w:p w14:paraId="40E6CAC6" w14:textId="1CF20DAD" w:rsidR="007832E9" w:rsidRPr="00043EFF" w:rsidRDefault="007832E9" w:rsidP="00043EFF">
      <w:pPr>
        <w:spacing w:line="276" w:lineRule="auto"/>
        <w:ind w:left="360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a. No evidence of myocardial infarction</w:t>
      </w:r>
    </w:p>
    <w:p w14:paraId="6BCFDB8D" w14:textId="4B98C8AC" w:rsidR="009854AF" w:rsidRPr="009854AF" w:rsidRDefault="009854AF" w:rsidP="00043EFF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(or)</w:t>
      </w:r>
    </w:p>
    <w:p w14:paraId="70FDF208" w14:textId="16F0834C" w:rsidR="007832E9" w:rsidRDefault="007832E9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9854AF">
        <w:rPr>
          <w:rFonts w:asciiTheme="majorHAnsi" w:hAnsiTheme="majorHAnsi" w:cstheme="majorHAnsi"/>
          <w:color w:val="000000"/>
          <w:sz w:val="24"/>
          <w:szCs w:val="24"/>
        </w:rPr>
        <w:t>Myocardial infarction is noted in the</w:t>
      </w:r>
      <w:r w:rsidR="009854AF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Left anterior descending/ left circumflex/ramus intermedius/ right coronary artery</w:t>
      </w:r>
      <w:r w:rsidR="006B7FEB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territories</w:t>
      </w:r>
      <w:r w:rsidR="009854AF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with viable myocardium in Left anterior descending/ left circumflex/ramus intermedius/ right coronary artery territories.</w:t>
      </w:r>
    </w:p>
    <w:p w14:paraId="5A84649B" w14:textId="74F57F42" w:rsidR="009854AF" w:rsidRPr="00043EFF" w:rsidRDefault="009854AF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Presence of nonischemic pattern of myocardial enhancement in</w:t>
      </w:r>
      <w:proofErr w:type="gramStart"/>
      <w:r w:rsidRPr="00043EFF">
        <w:rPr>
          <w:rFonts w:asciiTheme="majorHAnsi" w:hAnsiTheme="majorHAnsi" w:cstheme="majorHAnsi"/>
          <w:color w:val="000000"/>
          <w:sz w:val="24"/>
          <w:szCs w:val="24"/>
        </w:rPr>
        <w:t xml:space="preserve"> ..</w:t>
      </w:r>
      <w:proofErr w:type="gramEnd"/>
      <w:r w:rsidRPr="00043EFF">
        <w:rPr>
          <w:rFonts w:asciiTheme="majorHAnsi" w:hAnsiTheme="majorHAnsi" w:cstheme="majorHAnsi"/>
          <w:color w:val="000000"/>
          <w:sz w:val="24"/>
          <w:szCs w:val="24"/>
        </w:rPr>
        <w:t xml:space="preserve"> territories might limit improvement in left ventricular ejection fraction with </w:t>
      </w:r>
      <w:r w:rsidR="00896502" w:rsidRPr="00043EFF">
        <w:rPr>
          <w:rFonts w:asciiTheme="majorHAnsi" w:hAnsiTheme="majorHAnsi" w:cstheme="majorHAnsi"/>
          <w:color w:val="000000"/>
          <w:sz w:val="24"/>
          <w:szCs w:val="24"/>
        </w:rPr>
        <w:t>revascularization</w:t>
      </w:r>
      <w:r w:rsidRPr="00043EF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B0646E2" w14:textId="0C605D5F" w:rsidR="007832E9" w:rsidRPr="00043EFF" w:rsidRDefault="007832E9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(Normal/mildly decreased, moderately decreased/severely decreased LV function (with/without) regional dysfunction. Include segmental information if regional dysfunction is present</w:t>
      </w:r>
      <w:r w:rsidR="009854AF" w:rsidRPr="00043EF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FB5A2DD" w14:textId="4327E78D" w:rsidR="00043EFF" w:rsidRPr="00043EFF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43EFF">
        <w:rPr>
          <w:rFonts w:asciiTheme="majorHAnsi" w:hAnsiTheme="majorHAnsi" w:cstheme="majorHAnsi"/>
          <w:sz w:val="24"/>
          <w:szCs w:val="24"/>
        </w:rPr>
        <w:t>Left ventricular thrombus is (present measuring … /absent).</w:t>
      </w:r>
    </w:p>
    <w:p w14:paraId="2FDCC9FB" w14:textId="32A9A84D" w:rsidR="007832E9" w:rsidRPr="009854AF" w:rsidRDefault="007832E9" w:rsidP="00043EFF">
      <w:pPr>
        <w:spacing w:line="276" w:lineRule="auto"/>
        <w:ind w:left="360"/>
        <w:rPr>
          <w:rFonts w:asciiTheme="majorHAnsi" w:hAnsiTheme="majorHAnsi" w:cstheme="majorHAnsi"/>
          <w:color w:val="000000"/>
          <w:sz w:val="24"/>
          <w:szCs w:val="24"/>
        </w:rPr>
      </w:pPr>
      <w:r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a. (Normal/mildly increased/moderately increased/ severely increased) RV size 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>with</w:t>
      </w:r>
      <w:r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(normal/mildly reduced/moderately reduced/severely reduced) RV function (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>with/without</w:t>
      </w:r>
      <w:r w:rsidRPr="009854AF">
        <w:rPr>
          <w:rFonts w:asciiTheme="majorHAnsi" w:hAnsiTheme="majorHAnsi" w:cstheme="majorHAnsi"/>
          <w:color w:val="000000"/>
          <w:sz w:val="24"/>
          <w:szCs w:val="24"/>
        </w:rPr>
        <w:t>) presence of regional dysfunction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4216BD00" w14:textId="359407FF" w:rsidR="006B7FEB" w:rsidRPr="009854AF" w:rsidRDefault="009854AF" w:rsidP="00043EFF">
      <w:pPr>
        <w:spacing w:line="276" w:lineRule="auto"/>
        <w:ind w:firstLine="36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5. Right ventricular infarct is absent /present involving</w:t>
      </w:r>
      <w:r w:rsidR="00896502">
        <w:rPr>
          <w:rFonts w:asciiTheme="majorHAnsi" w:hAnsiTheme="majorHAnsi" w:cstheme="majorHAnsi"/>
          <w:color w:val="000000"/>
          <w:sz w:val="24"/>
          <w:szCs w:val="24"/>
        </w:rPr>
        <w:t xml:space="preserve"> ...</w:t>
      </w:r>
    </w:p>
    <w:p w14:paraId="72FDE7C3" w14:textId="77777777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2FD6F30" w14:textId="77777777" w:rsidR="000C2F9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CB7A095" w14:textId="77777777" w:rsidR="000C2F96" w:rsidRPr="00A004A8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2E2B77D" w14:textId="77777777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A004A8" w:rsidSect="00D04EFA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9F9B" w14:textId="77777777" w:rsidR="00DF0069" w:rsidRDefault="00DF0069" w:rsidP="00E14F79">
      <w:r>
        <w:separator/>
      </w:r>
    </w:p>
  </w:endnote>
  <w:endnote w:type="continuationSeparator" w:id="0">
    <w:p w14:paraId="55AA70C9" w14:textId="77777777" w:rsidR="00DF0069" w:rsidRDefault="00DF0069" w:rsidP="00E1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1990B" w14:textId="25860643" w:rsidR="00E14F79" w:rsidRPr="00E14F79" w:rsidRDefault="00E14F79">
    <w:pPr>
      <w:pStyle w:val="Footer"/>
      <w:rPr>
        <w:sz w:val="20"/>
      </w:rPr>
    </w:pPr>
    <w:r w:rsidRPr="00E14F79">
      <w:rPr>
        <w:sz w:val="20"/>
      </w:rPr>
      <w:t>SCMR Viability Template</w:t>
    </w:r>
    <w:r w:rsidRPr="00E14F79">
      <w:rPr>
        <w:sz w:val="20"/>
      </w:rPr>
      <w:tab/>
    </w:r>
    <w:r w:rsidRPr="00E14F79">
      <w:rPr>
        <w:sz w:val="20"/>
      </w:rPr>
      <w:tab/>
      <w:t xml:space="preserve">Approved Date: </w:t>
    </w:r>
    <w:r w:rsidR="00D04EFA">
      <w:rPr>
        <w:sz w:val="20"/>
      </w:rPr>
      <w:t>Oct 31</w:t>
    </w:r>
    <w:r w:rsidRPr="00E14F79">
      <w:rPr>
        <w:sz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1EDE3" w14:textId="77777777" w:rsidR="00DF0069" w:rsidRDefault="00DF0069" w:rsidP="00E14F79">
      <w:r>
        <w:separator/>
      </w:r>
    </w:p>
  </w:footnote>
  <w:footnote w:type="continuationSeparator" w:id="0">
    <w:p w14:paraId="1DAAF050" w14:textId="77777777" w:rsidR="00DF0069" w:rsidRDefault="00DF0069" w:rsidP="00E1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8F9C2" w14:textId="0886051A" w:rsidR="00D04EFA" w:rsidRDefault="0021768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DDE9EB" wp14:editId="4D35157C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73" cy="600075"/>
          <wp:effectExtent l="0" t="0" r="6350" b="0"/>
          <wp:wrapNone/>
          <wp:docPr id="1" name="Picture 1" descr="https://scmr.org/wp-content/uploads/2023/10/logo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mr.org/wp-content/uploads/2023/10/logo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73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0F26EC7"/>
    <w:multiLevelType w:val="hybridMultilevel"/>
    <w:tmpl w:val="F0D0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22"/>
  </w:num>
  <w:num w:numId="5">
    <w:abstractNumId w:val="10"/>
  </w:num>
  <w:num w:numId="6">
    <w:abstractNumId w:val="19"/>
  </w:num>
  <w:num w:numId="7">
    <w:abstractNumId w:val="21"/>
  </w:num>
  <w:num w:numId="8">
    <w:abstractNumId w:val="13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24"/>
  </w:num>
  <w:num w:numId="22">
    <w:abstractNumId w:val="9"/>
  </w:num>
  <w:num w:numId="23">
    <w:abstractNumId w:val="0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220D"/>
    <w:rsid w:val="00033220"/>
    <w:rsid w:val="00043EFF"/>
    <w:rsid w:val="000A01FB"/>
    <w:rsid w:val="000C2F96"/>
    <w:rsid w:val="000E7400"/>
    <w:rsid w:val="00116160"/>
    <w:rsid w:val="001217DC"/>
    <w:rsid w:val="00167F18"/>
    <w:rsid w:val="001E44A0"/>
    <w:rsid w:val="0021768D"/>
    <w:rsid w:val="002A0BCD"/>
    <w:rsid w:val="002C7BDB"/>
    <w:rsid w:val="00417F6E"/>
    <w:rsid w:val="0042150C"/>
    <w:rsid w:val="004575D2"/>
    <w:rsid w:val="00457D4A"/>
    <w:rsid w:val="00492F4A"/>
    <w:rsid w:val="004C0E95"/>
    <w:rsid w:val="00614CD6"/>
    <w:rsid w:val="00621EA2"/>
    <w:rsid w:val="006942EE"/>
    <w:rsid w:val="006B7FEB"/>
    <w:rsid w:val="006D6AC4"/>
    <w:rsid w:val="006F2B32"/>
    <w:rsid w:val="007679DB"/>
    <w:rsid w:val="007832E9"/>
    <w:rsid w:val="0081767D"/>
    <w:rsid w:val="00896502"/>
    <w:rsid w:val="008F0012"/>
    <w:rsid w:val="009131C5"/>
    <w:rsid w:val="0092449C"/>
    <w:rsid w:val="009854AF"/>
    <w:rsid w:val="009B4D81"/>
    <w:rsid w:val="009B540F"/>
    <w:rsid w:val="009F4AB5"/>
    <w:rsid w:val="00A004A8"/>
    <w:rsid w:val="00A30A9F"/>
    <w:rsid w:val="00A32D14"/>
    <w:rsid w:val="00B177A6"/>
    <w:rsid w:val="00B272A1"/>
    <w:rsid w:val="00B74AAB"/>
    <w:rsid w:val="00C37EC7"/>
    <w:rsid w:val="00D04EFA"/>
    <w:rsid w:val="00D31F84"/>
    <w:rsid w:val="00D36B47"/>
    <w:rsid w:val="00D519C9"/>
    <w:rsid w:val="00D63A73"/>
    <w:rsid w:val="00D67780"/>
    <w:rsid w:val="00DB3051"/>
    <w:rsid w:val="00DB56D1"/>
    <w:rsid w:val="00DF0069"/>
    <w:rsid w:val="00E14F79"/>
    <w:rsid w:val="00E50EF0"/>
    <w:rsid w:val="00E568CC"/>
    <w:rsid w:val="00E65715"/>
    <w:rsid w:val="00E8310E"/>
    <w:rsid w:val="00EA1E93"/>
    <w:rsid w:val="00F42082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4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F79"/>
  </w:style>
  <w:style w:type="paragraph" w:styleId="Footer">
    <w:name w:val="footer"/>
    <w:basedOn w:val="Normal"/>
    <w:link w:val="FooterChar"/>
    <w:uiPriority w:val="99"/>
    <w:unhideWhenUsed/>
    <w:rsid w:val="00E14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12</cp:revision>
  <dcterms:created xsi:type="dcterms:W3CDTF">2025-09-19T00:24:00Z</dcterms:created>
  <dcterms:modified xsi:type="dcterms:W3CDTF">2025-12-24T12:32:00Z</dcterms:modified>
</cp:coreProperties>
</file>